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6A6" w:rsidRPr="00CF614B" w:rsidRDefault="00394B42" w:rsidP="00CF614B">
      <w:pPr>
        <w:spacing w:after="281" w:line="240" w:lineRule="auto"/>
        <w:jc w:val="right"/>
        <w:rPr>
          <w:sz w:val="22"/>
        </w:rPr>
      </w:pPr>
      <w:r w:rsidRPr="00CF614B">
        <w:rPr>
          <w:sz w:val="22"/>
        </w:rPr>
        <w:t>Monsieur/ Madame NOM PRENOM</w:t>
      </w:r>
    </w:p>
    <w:p w:rsidR="007C26A6" w:rsidRPr="00CF614B" w:rsidRDefault="00394B42" w:rsidP="00CF614B">
      <w:pPr>
        <w:spacing w:after="522" w:line="240" w:lineRule="auto"/>
        <w:ind w:right="184"/>
        <w:jc w:val="right"/>
        <w:rPr>
          <w:sz w:val="22"/>
        </w:rPr>
      </w:pPr>
      <w:bookmarkStart w:id="0" w:name="_GoBack"/>
      <w:bookmarkEnd w:id="0"/>
      <w:r w:rsidRPr="00CF614B">
        <w:rPr>
          <w:sz w:val="22"/>
        </w:rPr>
        <w:t>Le XXX novembre 2023</w:t>
      </w:r>
    </w:p>
    <w:p w:rsidR="00CF614B" w:rsidRDefault="00CF614B" w:rsidP="00CF614B">
      <w:pPr>
        <w:spacing w:line="240" w:lineRule="auto"/>
        <w:ind w:left="0" w:right="0" w:firstLine="0"/>
        <w:rPr>
          <w:sz w:val="22"/>
        </w:rPr>
      </w:pPr>
    </w:p>
    <w:p w:rsidR="007C26A6" w:rsidRPr="00CF614B" w:rsidRDefault="00394B42" w:rsidP="00CF614B">
      <w:pPr>
        <w:spacing w:line="240" w:lineRule="auto"/>
        <w:ind w:left="-5" w:right="0"/>
        <w:rPr>
          <w:sz w:val="22"/>
        </w:rPr>
      </w:pPr>
      <w:r w:rsidRPr="00CF614B">
        <w:rPr>
          <w:sz w:val="22"/>
        </w:rPr>
        <w:t>Madame la députée, Monsieur le député</w:t>
      </w:r>
    </w:p>
    <w:p w:rsidR="007C26A6" w:rsidRPr="00CF614B" w:rsidRDefault="00394B42" w:rsidP="00CF614B">
      <w:pPr>
        <w:spacing w:after="184" w:line="240" w:lineRule="auto"/>
        <w:ind w:left="-5" w:right="0"/>
        <w:rPr>
          <w:sz w:val="22"/>
        </w:rPr>
      </w:pPr>
      <w:r w:rsidRPr="00CF614B">
        <w:rPr>
          <w:sz w:val="22"/>
        </w:rPr>
        <w:t xml:space="preserve">Nous souhaitons vous faire part de nos inquiétudes concernant la partie intégration du projet de loi « </w:t>
      </w:r>
      <w:r w:rsidRPr="00CF614B">
        <w:rPr>
          <w:color w:val="202124"/>
          <w:sz w:val="22"/>
        </w:rPr>
        <w:t xml:space="preserve">pour contrôler l'immigration, améliorer l'intégration » </w:t>
      </w:r>
      <w:r w:rsidRPr="00CF614B">
        <w:rPr>
          <w:sz w:val="22"/>
        </w:rPr>
        <w:t xml:space="preserve">et plus précisément les articles sur le durcissement de l’accès au séjour par la langue. Notre collectif, </w:t>
      </w:r>
      <w:r w:rsidRPr="00CF614B">
        <w:rPr>
          <w:b/>
          <w:sz w:val="22"/>
        </w:rPr>
        <w:t xml:space="preserve">Le Français pour </w:t>
      </w:r>
      <w:proofErr w:type="spellStart"/>
      <w:r w:rsidRPr="00CF614B">
        <w:rPr>
          <w:b/>
          <w:sz w:val="22"/>
        </w:rPr>
        <w:t>tou.</w:t>
      </w:r>
      <w:proofErr w:type="gramStart"/>
      <w:r w:rsidRPr="00CF614B">
        <w:rPr>
          <w:b/>
          <w:sz w:val="22"/>
        </w:rPr>
        <w:t>te.s</w:t>
      </w:r>
      <w:proofErr w:type="spellEnd"/>
      <w:proofErr w:type="gramEnd"/>
      <w:r w:rsidRPr="00CF614B">
        <w:rPr>
          <w:b/>
          <w:sz w:val="22"/>
        </w:rPr>
        <w:t xml:space="preserve"> </w:t>
      </w:r>
      <w:r w:rsidRPr="00CF614B">
        <w:rPr>
          <w:sz w:val="22"/>
        </w:rPr>
        <w:t>est une démarche inter-associative qui regroupe des organisations œuvrant dans le champ social et de l’apprentissage du fran</w:t>
      </w:r>
      <w:r w:rsidRPr="00CF614B">
        <w:rPr>
          <w:sz w:val="22"/>
        </w:rPr>
        <w:t xml:space="preserve">çais. Il rassemble 388 structures de proximité de toute la France ainsi que le Secours Catholique, la fédération des Centres sociaux, le </w:t>
      </w:r>
      <w:proofErr w:type="spellStart"/>
      <w:r w:rsidRPr="00CF614B">
        <w:rPr>
          <w:sz w:val="22"/>
        </w:rPr>
        <w:t>Radya</w:t>
      </w:r>
      <w:proofErr w:type="spellEnd"/>
      <w:r w:rsidRPr="00CF614B">
        <w:rPr>
          <w:sz w:val="22"/>
        </w:rPr>
        <w:t xml:space="preserve">, le </w:t>
      </w:r>
      <w:proofErr w:type="spellStart"/>
      <w:r w:rsidRPr="00CF614B">
        <w:rPr>
          <w:sz w:val="22"/>
        </w:rPr>
        <w:t>Germae</w:t>
      </w:r>
      <w:proofErr w:type="spellEnd"/>
      <w:r w:rsidRPr="00CF614B">
        <w:rPr>
          <w:sz w:val="22"/>
        </w:rPr>
        <w:t xml:space="preserve"> et la </w:t>
      </w:r>
      <w:proofErr w:type="spellStart"/>
      <w:r w:rsidRPr="00CF614B">
        <w:rPr>
          <w:sz w:val="22"/>
        </w:rPr>
        <w:t>Cimade</w:t>
      </w:r>
      <w:proofErr w:type="spellEnd"/>
      <w:r w:rsidRPr="00CF614B">
        <w:rPr>
          <w:sz w:val="22"/>
        </w:rPr>
        <w:t>.</w:t>
      </w:r>
    </w:p>
    <w:p w:rsidR="007C26A6" w:rsidRPr="00CF614B" w:rsidRDefault="00394B42" w:rsidP="00CF614B">
      <w:pPr>
        <w:spacing w:after="165" w:line="240" w:lineRule="auto"/>
        <w:ind w:left="-5" w:right="0"/>
        <w:rPr>
          <w:sz w:val="22"/>
        </w:rPr>
      </w:pPr>
      <w:r w:rsidRPr="00CF614B">
        <w:rPr>
          <w:sz w:val="22"/>
        </w:rPr>
        <w:t>Suite aux discussions et au vote du Sénat, nous sommes convaincus que ces mesures n’atte</w:t>
      </w:r>
      <w:r w:rsidRPr="00CF614B">
        <w:rPr>
          <w:sz w:val="22"/>
        </w:rPr>
        <w:t>indront pas les objectifs affichés d’”améliorer l’intégration”. Au contraire, elles vont engendrer l’exclusion d'une grande partie des personnes migrantes.</w:t>
      </w:r>
    </w:p>
    <w:p w:rsidR="007C26A6" w:rsidRPr="00CF614B" w:rsidRDefault="00394B42" w:rsidP="00CF614B">
      <w:pPr>
        <w:spacing w:after="160" w:line="240" w:lineRule="auto"/>
        <w:ind w:left="0" w:right="1" w:firstLine="0"/>
        <w:rPr>
          <w:sz w:val="22"/>
        </w:rPr>
      </w:pPr>
      <w:r w:rsidRPr="00CF614B">
        <w:rPr>
          <w:noProof/>
          <w:sz w:val="22"/>
        </w:rPr>
        <w:drawing>
          <wp:anchor distT="0" distB="0" distL="114300" distR="114300" simplePos="0" relativeHeight="251658240" behindDoc="0" locked="0" layoutInCell="1" allowOverlap="0">
            <wp:simplePos x="0" y="0"/>
            <wp:positionH relativeFrom="page">
              <wp:posOffset>918845</wp:posOffset>
            </wp:positionH>
            <wp:positionV relativeFrom="page">
              <wp:posOffset>468630</wp:posOffset>
            </wp:positionV>
            <wp:extent cx="1114425" cy="695325"/>
            <wp:effectExtent l="0" t="0" r="0" b="0"/>
            <wp:wrapTopAndBottom/>
            <wp:docPr id="492" name="Picture 492"/>
            <wp:cNvGraphicFramePr/>
            <a:graphic xmlns:a="http://schemas.openxmlformats.org/drawingml/2006/main">
              <a:graphicData uri="http://schemas.openxmlformats.org/drawingml/2006/picture">
                <pic:pic xmlns:pic="http://schemas.openxmlformats.org/drawingml/2006/picture">
                  <pic:nvPicPr>
                    <pic:cNvPr id="492" name="Picture 492"/>
                    <pic:cNvPicPr/>
                  </pic:nvPicPr>
                  <pic:blipFill>
                    <a:blip r:embed="rId6"/>
                    <a:stretch>
                      <a:fillRect/>
                    </a:stretch>
                  </pic:blipFill>
                  <pic:spPr>
                    <a:xfrm>
                      <a:off x="0" y="0"/>
                      <a:ext cx="1114425" cy="695325"/>
                    </a:xfrm>
                    <a:prstGeom prst="rect">
                      <a:avLst/>
                    </a:prstGeom>
                  </pic:spPr>
                </pic:pic>
              </a:graphicData>
            </a:graphic>
          </wp:anchor>
        </w:drawing>
      </w:r>
      <w:r w:rsidRPr="00CF614B">
        <w:rPr>
          <w:color w:val="242021"/>
          <w:sz w:val="22"/>
        </w:rPr>
        <w:t>C’est pourquoi, nous vous demandons de retirer le lien entre titre de séjour et niveau de langue. C</w:t>
      </w:r>
      <w:r w:rsidRPr="00CF614B">
        <w:rPr>
          <w:color w:val="242021"/>
          <w:sz w:val="22"/>
        </w:rPr>
        <w:t>e n’est pas en imposant une obligation de réussite à un examen que les personnes maitriseront mieux le français. Comment croire que l'on pourrait améliorer l'apprentissage, juste en imposant une obligation de réussite à un examen et des formations, sans le</w:t>
      </w:r>
      <w:r w:rsidRPr="00CF614B">
        <w:rPr>
          <w:color w:val="242021"/>
          <w:sz w:val="22"/>
        </w:rPr>
        <w:t xml:space="preserve"> développement </w:t>
      </w:r>
      <w:proofErr w:type="gramStart"/>
      <w:r w:rsidRPr="00CF614B">
        <w:rPr>
          <w:color w:val="242021"/>
          <w:sz w:val="22"/>
        </w:rPr>
        <w:t>d' un</w:t>
      </w:r>
      <w:proofErr w:type="gramEnd"/>
      <w:r w:rsidRPr="00CF614B">
        <w:rPr>
          <w:color w:val="242021"/>
          <w:sz w:val="22"/>
        </w:rPr>
        <w:t xml:space="preserve"> accompagnement global, et de qualité.</w:t>
      </w:r>
    </w:p>
    <w:p w:rsidR="007C26A6" w:rsidRPr="00CF614B" w:rsidRDefault="00394B42" w:rsidP="00CF614B">
      <w:pPr>
        <w:spacing w:after="169" w:line="240" w:lineRule="auto"/>
        <w:ind w:left="-5" w:right="0"/>
        <w:rPr>
          <w:sz w:val="22"/>
        </w:rPr>
      </w:pPr>
      <w:r w:rsidRPr="00CF614B">
        <w:rPr>
          <w:sz w:val="22"/>
        </w:rPr>
        <w:t>Concernant, l’article 1, les niveaux de certification demandés notamment pour l’écrit (niveau A2 pour une carte de séjour pluriannuel), sont inaccessibles pour beaucoup de par leur difficulté, en p</w:t>
      </w:r>
      <w:r w:rsidRPr="00CF614B">
        <w:rPr>
          <w:sz w:val="22"/>
        </w:rPr>
        <w:t>articulier pour les personnes ne maîtrisant pas l'écrit dans leur propre langue</w:t>
      </w:r>
      <w:r w:rsidRPr="00CF614B">
        <w:rPr>
          <w:rFonts w:eastAsia="Arial"/>
          <w:color w:val="222222"/>
          <w:sz w:val="22"/>
        </w:rPr>
        <w:t xml:space="preserve">, </w:t>
      </w:r>
      <w:r w:rsidRPr="00CF614B">
        <w:rPr>
          <w:sz w:val="22"/>
        </w:rPr>
        <w:t>ou pour les personnes qui partent de langues très différentes, et qui doivent parfois apprendre un nouvel alphabet, un nouveau sens d'écriture. Le nouveau niveau visé est plus</w:t>
      </w:r>
      <w:r w:rsidRPr="00CF614B">
        <w:rPr>
          <w:sz w:val="22"/>
        </w:rPr>
        <w:t xml:space="preserve"> important que le niveau actuel alors même que l’OFII signale qu’en 2022, 33 % des personnes suivant les formations du CIR n’arrivaient pas atteindre ce niveau (A1) en fin de formation</w:t>
      </w:r>
      <w:r w:rsidRPr="00CF614B">
        <w:rPr>
          <w:sz w:val="22"/>
          <w:vertAlign w:val="superscript"/>
        </w:rPr>
        <w:footnoteReference w:id="1"/>
      </w:r>
      <w:r w:rsidRPr="00CF614B">
        <w:rPr>
          <w:sz w:val="22"/>
        </w:rPr>
        <w:t>.</w:t>
      </w:r>
    </w:p>
    <w:p w:rsidR="007C26A6" w:rsidRPr="00CF614B" w:rsidRDefault="00394B42" w:rsidP="00CF614B">
      <w:pPr>
        <w:spacing w:after="159" w:line="240" w:lineRule="auto"/>
        <w:ind w:left="-5" w:right="0"/>
        <w:rPr>
          <w:sz w:val="22"/>
        </w:rPr>
      </w:pPr>
      <w:r w:rsidRPr="00CF614B">
        <w:rPr>
          <w:sz w:val="22"/>
        </w:rPr>
        <w:t>D’autre part, la limitation à trois demandes du renouvellement des ti</w:t>
      </w:r>
      <w:r w:rsidRPr="00CF614B">
        <w:rPr>
          <w:sz w:val="22"/>
        </w:rPr>
        <w:t>tres de séjour temporaire pour un même motif (art 1bis) aurait un effet particulièrement absurde et terrible pour les personnes étrangères : un certain nombre d’entre elles ne seraient plus régularisées que pour trois ans au maximum, et redeviendraient san</w:t>
      </w:r>
      <w:r w:rsidRPr="00CF614B">
        <w:rPr>
          <w:sz w:val="22"/>
        </w:rPr>
        <w:t>s-papiers après cette période. Cette limitation fermerait définitivement la porte aux personnes précaires ayant des difficultés d’apprentissages, surtout les personnes non-francophones. Nous pensons particulièrement au public peu ou pas scolarisé et dont l</w:t>
      </w:r>
      <w:r w:rsidRPr="00CF614B">
        <w:rPr>
          <w:sz w:val="22"/>
        </w:rPr>
        <w:t>a langue maternelle a une grande distance linguistique avec le français comme par exemple les arabophones. L’Unesco estime qu’il faut au moins 3000 heures de formation à un adulte qui n’a pas été scolarisé pour savoir lire et écrire (niveau A2). Ses diffic</w:t>
      </w:r>
      <w:r w:rsidRPr="00CF614B">
        <w:rPr>
          <w:sz w:val="22"/>
        </w:rPr>
        <w:t>ultés peuvent être renforcées par la précarité financière et l’instabilité administrative.</w:t>
      </w:r>
    </w:p>
    <w:p w:rsidR="007C26A6" w:rsidRPr="00CF614B" w:rsidRDefault="00394B42" w:rsidP="00CF614B">
      <w:pPr>
        <w:spacing w:after="165" w:line="240" w:lineRule="auto"/>
        <w:ind w:left="-5" w:right="0"/>
        <w:rPr>
          <w:sz w:val="22"/>
        </w:rPr>
      </w:pPr>
      <w:r w:rsidRPr="00CF614B">
        <w:rPr>
          <w:sz w:val="22"/>
        </w:rPr>
        <w:t>Il est d’autant plus regrettable que ces nouvelles exigences ne s’accompagnent ni d’une évolution des formations linguistiques, notamment celles proposées par l’OFII</w:t>
      </w:r>
      <w:r w:rsidRPr="00CF614B">
        <w:rPr>
          <w:sz w:val="22"/>
        </w:rPr>
        <w:t xml:space="preserve">, qui permettraient aux personnes d’atteindre ces niveaux d’exigence. Ni d’une réelle réflexion sur les suites de parcours après les formations de l’OFII. Aucune coordination des acteurs n’est prévue dans ce projet ce qui sécuriserait les </w:t>
      </w:r>
      <w:r w:rsidRPr="00CF614B">
        <w:rPr>
          <w:sz w:val="22"/>
        </w:rPr>
        <w:lastRenderedPageBreak/>
        <w:t>apprentissages. C</w:t>
      </w:r>
      <w:r w:rsidRPr="00CF614B">
        <w:rPr>
          <w:sz w:val="22"/>
        </w:rPr>
        <w:t>oncrètement, si cette loi est adoptée et selon l’étude d’impact de l’Etat</w:t>
      </w:r>
      <w:r w:rsidRPr="00CF614B">
        <w:rPr>
          <w:sz w:val="22"/>
          <w:vertAlign w:val="superscript"/>
        </w:rPr>
        <w:footnoteReference w:id="2"/>
      </w:r>
      <w:r w:rsidRPr="00CF614B">
        <w:rPr>
          <w:sz w:val="22"/>
        </w:rPr>
        <w:t>, 20 000 personnes ne pourront pas accéder à un titre de séjour pluriannuel du seul fait du critère de la langue.</w:t>
      </w:r>
    </w:p>
    <w:p w:rsidR="007C26A6" w:rsidRPr="00CF614B" w:rsidRDefault="00394B42" w:rsidP="00CF614B">
      <w:pPr>
        <w:spacing w:line="240" w:lineRule="auto"/>
        <w:ind w:left="-5" w:right="0"/>
        <w:rPr>
          <w:sz w:val="22"/>
        </w:rPr>
      </w:pPr>
      <w:r w:rsidRPr="00CF614B">
        <w:rPr>
          <w:sz w:val="22"/>
        </w:rPr>
        <w:t>Concernant le nouvel article 1C qui impose au candidat au regroupeme</w:t>
      </w:r>
      <w:r w:rsidRPr="00CF614B">
        <w:rPr>
          <w:sz w:val="22"/>
        </w:rPr>
        <w:t>nt familial un niveau de “connaissance de la langue française lui permettant au moins de communiquer de façon élémentaire” (A1), cette mesure a déjà été expérimentée en 2007 par le ministre de l’Immigration Brice Hortefeux. Les défauts de cette mesure avai</w:t>
      </w:r>
      <w:r w:rsidRPr="00CF614B">
        <w:rPr>
          <w:sz w:val="22"/>
        </w:rPr>
        <w:t xml:space="preserve">ent alors été rapidement documentés dans le rapport d’information n° 47 (2012-2013) de M. Roger </w:t>
      </w:r>
      <w:proofErr w:type="spellStart"/>
      <w:r w:rsidRPr="00CF614B">
        <w:rPr>
          <w:sz w:val="22"/>
        </w:rPr>
        <w:t>Karoutchi</w:t>
      </w:r>
      <w:proofErr w:type="spellEnd"/>
      <w:r w:rsidRPr="00CF614B">
        <w:rPr>
          <w:sz w:val="22"/>
        </w:rPr>
        <w:t>, pour la commission des finances, déposé le 16 octobre 2012. La mesure avait été annulée.</w:t>
      </w:r>
    </w:p>
    <w:p w:rsidR="007C26A6" w:rsidRPr="00CF614B" w:rsidRDefault="00394B42" w:rsidP="00CF614B">
      <w:pPr>
        <w:spacing w:line="240" w:lineRule="auto"/>
        <w:ind w:left="-5" w:right="0"/>
        <w:rPr>
          <w:sz w:val="22"/>
        </w:rPr>
      </w:pPr>
      <w:r w:rsidRPr="00CF614B">
        <w:rPr>
          <w:noProof/>
          <w:sz w:val="22"/>
        </w:rPr>
        <w:drawing>
          <wp:anchor distT="0" distB="0" distL="114300" distR="114300" simplePos="0" relativeHeight="251659264" behindDoc="0" locked="0" layoutInCell="1" allowOverlap="0">
            <wp:simplePos x="0" y="0"/>
            <wp:positionH relativeFrom="page">
              <wp:posOffset>918845</wp:posOffset>
            </wp:positionH>
            <wp:positionV relativeFrom="page">
              <wp:posOffset>468630</wp:posOffset>
            </wp:positionV>
            <wp:extent cx="1114425" cy="695325"/>
            <wp:effectExtent l="0" t="0" r="0" b="0"/>
            <wp:wrapTopAndBottom/>
            <wp:docPr id="969" name="Picture 969"/>
            <wp:cNvGraphicFramePr/>
            <a:graphic xmlns:a="http://schemas.openxmlformats.org/drawingml/2006/main">
              <a:graphicData uri="http://schemas.openxmlformats.org/drawingml/2006/picture">
                <pic:pic xmlns:pic="http://schemas.openxmlformats.org/drawingml/2006/picture">
                  <pic:nvPicPr>
                    <pic:cNvPr id="969" name="Picture 969"/>
                    <pic:cNvPicPr/>
                  </pic:nvPicPr>
                  <pic:blipFill>
                    <a:blip r:embed="rId6"/>
                    <a:stretch>
                      <a:fillRect/>
                    </a:stretch>
                  </pic:blipFill>
                  <pic:spPr>
                    <a:xfrm>
                      <a:off x="0" y="0"/>
                      <a:ext cx="1114425" cy="695325"/>
                    </a:xfrm>
                    <a:prstGeom prst="rect">
                      <a:avLst/>
                    </a:prstGeom>
                  </pic:spPr>
                </pic:pic>
              </a:graphicData>
            </a:graphic>
          </wp:anchor>
        </w:drawing>
      </w:r>
      <w:r w:rsidRPr="00CF614B">
        <w:rPr>
          <w:sz w:val="22"/>
        </w:rPr>
        <w:t>Pour conclure, il est largement reconnu que la langue n’est</w:t>
      </w:r>
      <w:r w:rsidRPr="00CF614B">
        <w:rPr>
          <w:sz w:val="22"/>
        </w:rPr>
        <w:t xml:space="preserve"> pas le seul facteur d’intégration et qu’apprendre une langue ne se fait pas uniquement dans un cadre formel et formatif. Le travail, la santé, le logement et les liens de sociabilité sont tout aussi importants. Utiliser des tests de langues ne suffit pas </w:t>
      </w:r>
      <w:r w:rsidRPr="00CF614B">
        <w:rPr>
          <w:sz w:val="22"/>
        </w:rPr>
        <w:t>pour “mesurer” l’intégration d’une personne. L’outil lui-même d’évaluation de la langue (le Cadre Européen Commun de Références des Langues) sur lequel s’appuie les organismes agréés par l’Etat, est remis en question pour ces mêmes raisons normatives par l</w:t>
      </w:r>
      <w:r w:rsidRPr="00CF614B">
        <w:rPr>
          <w:sz w:val="22"/>
        </w:rPr>
        <w:t>es acteurs de l’apprentissage et par le Conseil de l’Europe</w:t>
      </w:r>
      <w:r w:rsidRPr="00CF614B">
        <w:rPr>
          <w:sz w:val="22"/>
          <w:vertAlign w:val="superscript"/>
        </w:rPr>
        <w:footnoteReference w:id="3"/>
      </w:r>
      <w:r w:rsidRPr="00CF614B">
        <w:rPr>
          <w:sz w:val="22"/>
        </w:rPr>
        <w:t xml:space="preserve">. </w:t>
      </w:r>
      <w:r w:rsidRPr="00CF614B">
        <w:rPr>
          <w:color w:val="242021"/>
          <w:sz w:val="22"/>
        </w:rPr>
        <w:t>Il est grand temps que comme au Québec l’apprentissage du français ne constitue pas une obligation restrictive mais un droit. Car le droit à l’apprentissage de la langue et la connaissance des r</w:t>
      </w:r>
      <w:r w:rsidRPr="00CF614B">
        <w:rPr>
          <w:color w:val="242021"/>
          <w:sz w:val="22"/>
        </w:rPr>
        <w:t xml:space="preserve">éférences sociales du pays où l’on vit est un droit essentiel, l’une des premières demandes sociales à laquelle l’État se doit de répondre. Il ne doit en aucun cas être un outil de restriction </w:t>
      </w:r>
      <w:r w:rsidRPr="00CF614B">
        <w:rPr>
          <w:sz w:val="22"/>
        </w:rPr>
        <w:t xml:space="preserve">et de contrôle </w:t>
      </w:r>
      <w:r w:rsidRPr="00CF614B">
        <w:rPr>
          <w:color w:val="242021"/>
          <w:sz w:val="22"/>
        </w:rPr>
        <w:t>ni aujourd’hui, ni demain.</w:t>
      </w:r>
    </w:p>
    <w:p w:rsidR="007C26A6" w:rsidRPr="00CF614B" w:rsidRDefault="00394B42" w:rsidP="00CF614B">
      <w:pPr>
        <w:spacing w:line="240" w:lineRule="auto"/>
        <w:ind w:left="-5" w:right="0"/>
        <w:rPr>
          <w:sz w:val="22"/>
        </w:rPr>
      </w:pPr>
      <w:r w:rsidRPr="00CF614B">
        <w:rPr>
          <w:sz w:val="22"/>
        </w:rPr>
        <w:t>Vous pouvez trouver i</w:t>
      </w:r>
      <w:r w:rsidRPr="00CF614B">
        <w:rPr>
          <w:sz w:val="22"/>
        </w:rPr>
        <w:t xml:space="preserve">ci le document complet de notre analyse de la partie accès à la langue du projet de loi « </w:t>
      </w:r>
      <w:r w:rsidRPr="00CF614B">
        <w:rPr>
          <w:color w:val="202124"/>
          <w:sz w:val="22"/>
        </w:rPr>
        <w:t xml:space="preserve">pour contrôler l'immigration, améliorer l'intégration », </w:t>
      </w:r>
      <w:r w:rsidRPr="00CF614B">
        <w:rPr>
          <w:sz w:val="22"/>
        </w:rPr>
        <w:t xml:space="preserve">ainsi qu’une tribune rédigée par des </w:t>
      </w:r>
      <w:proofErr w:type="spellStart"/>
      <w:r w:rsidRPr="00CF614B">
        <w:rPr>
          <w:sz w:val="22"/>
        </w:rPr>
        <w:t>apprenant·es</w:t>
      </w:r>
      <w:proofErr w:type="spellEnd"/>
      <w:r w:rsidRPr="00CF614B">
        <w:rPr>
          <w:sz w:val="22"/>
        </w:rPr>
        <w:t xml:space="preserve"> dans le cadre d'une recherche-action nationale.</w:t>
      </w:r>
    </w:p>
    <w:p w:rsidR="007C26A6" w:rsidRPr="00CF614B" w:rsidRDefault="00394B42" w:rsidP="00CF614B">
      <w:pPr>
        <w:spacing w:after="155" w:line="240" w:lineRule="auto"/>
        <w:ind w:left="-5" w:right="0"/>
        <w:rPr>
          <w:sz w:val="22"/>
        </w:rPr>
      </w:pPr>
      <w:r w:rsidRPr="00CF614B">
        <w:rPr>
          <w:sz w:val="22"/>
        </w:rPr>
        <w:t>Nous vous r</w:t>
      </w:r>
      <w:r w:rsidRPr="00CF614B">
        <w:rPr>
          <w:sz w:val="22"/>
        </w:rPr>
        <w:t>emercions de l’attention que vous porterez à nos analyses et propositions contenues dans ce document et nous nous tenons à votre entière disposition pour toute précision que vous jugeriez utile.</w:t>
      </w:r>
    </w:p>
    <w:p w:rsidR="00CF614B" w:rsidRDefault="00394B42" w:rsidP="00CF614B">
      <w:pPr>
        <w:spacing w:after="0" w:line="240" w:lineRule="auto"/>
        <w:ind w:left="0" w:right="203" w:firstLine="0"/>
        <w:jc w:val="left"/>
        <w:rPr>
          <w:sz w:val="22"/>
        </w:rPr>
      </w:pPr>
      <w:r w:rsidRPr="00CF614B">
        <w:rPr>
          <w:sz w:val="22"/>
        </w:rPr>
        <w:t xml:space="preserve">Nous vous prions de croire, Madame, Monsieur, à l’expression de notre haute considération. </w:t>
      </w:r>
    </w:p>
    <w:p w:rsidR="00CF614B" w:rsidRDefault="00394B42" w:rsidP="00CF614B">
      <w:pPr>
        <w:spacing w:after="0" w:line="240" w:lineRule="auto"/>
        <w:ind w:left="0" w:right="203" w:firstLine="0"/>
        <w:jc w:val="left"/>
        <w:rPr>
          <w:sz w:val="22"/>
        </w:rPr>
      </w:pPr>
      <w:r w:rsidRPr="00CF614B">
        <w:rPr>
          <w:sz w:val="22"/>
        </w:rPr>
        <w:t xml:space="preserve">Le collectif le français pour toutes et tous </w:t>
      </w:r>
    </w:p>
    <w:p w:rsidR="00CF614B" w:rsidRDefault="00CF614B" w:rsidP="00CF614B">
      <w:pPr>
        <w:spacing w:after="0" w:line="240" w:lineRule="auto"/>
        <w:ind w:left="0" w:right="203" w:firstLine="0"/>
        <w:jc w:val="left"/>
        <w:rPr>
          <w:sz w:val="22"/>
        </w:rPr>
      </w:pPr>
    </w:p>
    <w:p w:rsidR="007C26A6" w:rsidRPr="00CF614B" w:rsidRDefault="00394B42" w:rsidP="00CF614B">
      <w:pPr>
        <w:spacing w:after="0" w:line="240" w:lineRule="auto"/>
        <w:ind w:left="0" w:right="203" w:firstLine="0"/>
        <w:jc w:val="left"/>
        <w:rPr>
          <w:sz w:val="22"/>
        </w:rPr>
      </w:pPr>
      <w:r w:rsidRPr="00CF614B">
        <w:rPr>
          <w:sz w:val="22"/>
        </w:rPr>
        <w:t>Contact :</w:t>
      </w:r>
    </w:p>
    <w:sectPr w:rsidR="007C26A6" w:rsidRPr="00CF614B">
      <w:pgSz w:w="11920" w:h="16840"/>
      <w:pgMar w:top="2127" w:right="1432" w:bottom="1415" w:left="1417"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4B42" w:rsidRDefault="00394B42">
      <w:pPr>
        <w:spacing w:after="0" w:line="240" w:lineRule="auto"/>
      </w:pPr>
      <w:r>
        <w:separator/>
      </w:r>
    </w:p>
  </w:endnote>
  <w:endnote w:type="continuationSeparator" w:id="0">
    <w:p w:rsidR="00394B42" w:rsidRDefault="00394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4B42" w:rsidRDefault="00394B42">
      <w:pPr>
        <w:spacing w:after="0" w:line="259" w:lineRule="auto"/>
        <w:ind w:left="0" w:right="0" w:firstLine="0"/>
        <w:jc w:val="left"/>
      </w:pPr>
      <w:r>
        <w:separator/>
      </w:r>
    </w:p>
  </w:footnote>
  <w:footnote w:type="continuationSeparator" w:id="0">
    <w:p w:rsidR="00394B42" w:rsidRDefault="00394B42">
      <w:pPr>
        <w:spacing w:after="0" w:line="259" w:lineRule="auto"/>
        <w:ind w:left="0" w:right="0" w:firstLine="0"/>
        <w:jc w:val="left"/>
      </w:pPr>
      <w:r>
        <w:continuationSeparator/>
      </w:r>
    </w:p>
  </w:footnote>
  <w:footnote w:id="1">
    <w:p w:rsidR="007C26A6" w:rsidRDefault="00394B42">
      <w:pPr>
        <w:pStyle w:val="footnotedescription"/>
      </w:pPr>
      <w:r>
        <w:rPr>
          <w:rStyle w:val="footnotemark"/>
        </w:rPr>
        <w:footnoteRef/>
      </w:r>
      <w:r>
        <w:t xml:space="preserve"> Rapport d’activités 2022 de l’OFII</w:t>
      </w:r>
      <w:r>
        <w:t>, page citée p44</w:t>
      </w:r>
    </w:p>
  </w:footnote>
  <w:footnote w:id="2">
    <w:p w:rsidR="007C26A6" w:rsidRDefault="00394B42">
      <w:pPr>
        <w:pStyle w:val="footnotedescription"/>
        <w:spacing w:after="8" w:line="260" w:lineRule="auto"/>
      </w:pPr>
      <w:r>
        <w:rPr>
          <w:rStyle w:val="footnotemark"/>
        </w:rPr>
        <w:footnoteRef/>
      </w:r>
      <w:r>
        <w:t xml:space="preserve"> </w:t>
      </w:r>
      <w:r>
        <w:rPr>
          <w:rFonts w:ascii="Calibri" w:eastAsia="Calibri" w:hAnsi="Calibri" w:cs="Calibri"/>
        </w:rPr>
        <w:t>Etude d'impact PROJET DE LOI pour contrôler l’immigration, améliorer l’intégration NOR : IOMV2236472L/Bleue-1 31 janvier 2023</w:t>
      </w:r>
    </w:p>
  </w:footnote>
  <w:footnote w:id="3">
    <w:p w:rsidR="007C26A6" w:rsidRDefault="00394B42">
      <w:pPr>
        <w:pStyle w:val="footnotedescription"/>
        <w:spacing w:line="258" w:lineRule="auto"/>
      </w:pPr>
      <w:r>
        <w:rPr>
          <w:rStyle w:val="footnotemark"/>
        </w:rPr>
        <w:footnoteRef/>
      </w:r>
      <w:r>
        <w:t xml:space="preserve"> </w:t>
      </w:r>
      <w:r>
        <w:rPr>
          <w:rFonts w:ascii="Calibri" w:eastAsia="Calibri" w:hAnsi="Calibri" w:cs="Calibri"/>
          <w:sz w:val="22"/>
        </w:rPr>
        <w:t xml:space="preserve">Conseil de l’Europe </w:t>
      </w:r>
      <w:proofErr w:type="spellStart"/>
      <w:r>
        <w:rPr>
          <w:rFonts w:ascii="Calibri" w:eastAsia="Calibri" w:hAnsi="Calibri" w:cs="Calibri"/>
          <w:sz w:val="22"/>
        </w:rPr>
        <w:t>Little</w:t>
      </w:r>
      <w:proofErr w:type="spellEnd"/>
      <w:r>
        <w:rPr>
          <w:rFonts w:ascii="Calibri" w:eastAsia="Calibri" w:hAnsi="Calibri" w:cs="Calibri"/>
          <w:sz w:val="22"/>
        </w:rPr>
        <w:t>, D (2008) : L’intégration linguistique des migrants adultes et le Cadre européen c</w:t>
      </w:r>
      <w:r>
        <w:rPr>
          <w:rFonts w:ascii="Calibri" w:eastAsia="Calibri" w:hAnsi="Calibri" w:cs="Calibri"/>
          <w:sz w:val="22"/>
        </w:rPr>
        <w:t xml:space="preserve">ommun de référence pour les langues (CECR), p7 et 8 </w:t>
      </w:r>
      <w:hyperlink r:id="rId1">
        <w:r>
          <w:rPr>
            <w:rFonts w:ascii="Calibri" w:eastAsia="Calibri" w:hAnsi="Calibri" w:cs="Calibri"/>
            <w:sz w:val="22"/>
          </w:rPr>
          <w:t>:</w:t>
        </w:r>
      </w:hyperlink>
      <w:r>
        <w:rPr>
          <w:rFonts w:ascii="Calibri" w:eastAsia="Calibri" w:hAnsi="Calibri" w:cs="Calibri"/>
          <w:sz w:val="22"/>
        </w:rPr>
        <w:t xml:space="preserve"> </w:t>
      </w:r>
      <w:hyperlink r:id="rId2">
        <w:r>
          <w:rPr>
            <w:rFonts w:ascii="Calibri" w:eastAsia="Calibri" w:hAnsi="Calibri" w:cs="Calibri"/>
            <w:sz w:val="22"/>
            <w:u w:val="single" w:color="000000"/>
          </w:rPr>
          <w:t>https://rm.coe.int/16802fc3af</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6A6"/>
    <w:rsid w:val="00394B42"/>
    <w:rsid w:val="007C26A6"/>
    <w:rsid w:val="00CF61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4B951"/>
  <w15:docId w15:val="{E3263928-E3B7-4484-8847-6D46C8D40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84" w:line="264" w:lineRule="auto"/>
      <w:ind w:left="10" w:right="540" w:hanging="10"/>
      <w:jc w:val="both"/>
    </w:pPr>
    <w:rPr>
      <w:rFonts w:ascii="Times New Roman" w:eastAsia="Times New Roman" w:hAnsi="Times New Roman" w:cs="Times New Roman"/>
      <w:color w:val="00000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Calibri" w:eastAsia="Calibri" w:hAnsi="Calibri" w:cs="Calibri"/>
      <w:color w:val="000000"/>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rm.coe.int/16802fc3af" TargetMode="External"/><Relationship Id="rId1" Type="http://schemas.openxmlformats.org/officeDocument/2006/relationships/hyperlink" Target="https://rm.coe.int/16802fc3a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878</Words>
  <Characters>4833</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Lettre type.docx</vt:lpstr>
    </vt:vector>
  </TitlesOfParts>
  <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 type.docx</dc:title>
  <dc:subject/>
  <dc:creator>dtricoire</dc:creator>
  <cp:keywords/>
  <cp:lastModifiedBy>dtricoire</cp:lastModifiedBy>
  <cp:revision>2</cp:revision>
  <dcterms:created xsi:type="dcterms:W3CDTF">2023-11-30T09:56:00Z</dcterms:created>
  <dcterms:modified xsi:type="dcterms:W3CDTF">2023-11-30T09:56:00Z</dcterms:modified>
</cp:coreProperties>
</file>